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pBdr>
          <w:bottom w:val="single" w:color="auto" w:sz="4" w:space="1"/>
        </w:pBdr>
        <w:spacing w:after="0" w:line="700" w:lineRule="exact"/>
        <w:jc w:val="center"/>
        <w:rPr>
          <w:rFonts w:asciiTheme="majorEastAsia" w:hAnsiTheme="majorEastAsia" w:cstheme="majorEastAsia"/>
          <w:b/>
          <w:bCs/>
          <w:color w:val="FF0000"/>
          <w:sz w:val="44"/>
          <w:szCs w:val="44"/>
        </w:rPr>
      </w:pPr>
      <w:r>
        <w:rPr>
          <w:rFonts w:hint="eastAsia" w:asciiTheme="majorEastAsia" w:hAnsiTheme="majorEastAsia" w:cstheme="majorEastAsia"/>
          <w:b/>
          <w:bCs/>
          <w:color w:val="FF0000"/>
          <w:sz w:val="44"/>
          <w:szCs w:val="44"/>
        </w:rPr>
        <w:t>江苏扬农化工集团有限公司单一来源采购</w:t>
      </w:r>
    </w:p>
    <w:p>
      <w:pPr>
        <w:pStyle w:val="15"/>
        <w:pBdr>
          <w:bottom w:val="single" w:color="auto" w:sz="4" w:space="1"/>
        </w:pBdr>
        <w:spacing w:after="0" w:line="700" w:lineRule="exact"/>
        <w:jc w:val="center"/>
        <w:rPr>
          <w:rFonts w:asciiTheme="majorEastAsia" w:hAnsiTheme="majorEastAsia" w:cstheme="majorEastAsia"/>
          <w:b/>
          <w:bCs/>
          <w:color w:val="auto"/>
          <w:sz w:val="32"/>
          <w:szCs w:val="32"/>
        </w:rPr>
      </w:pPr>
      <w:r>
        <w:rPr>
          <w:rFonts w:hint="eastAsia" w:asciiTheme="majorEastAsia" w:hAnsiTheme="majorEastAsia" w:cstheme="majorEastAsia"/>
          <w:b/>
          <w:bCs/>
          <w:color w:val="auto"/>
          <w:sz w:val="32"/>
          <w:szCs w:val="32"/>
        </w:rPr>
        <w:t>商务商谈会议纪要</w:t>
      </w:r>
    </w:p>
    <w:p>
      <w:pPr>
        <w:pBdr>
          <w:bottom w:val="single" w:color="auto" w:sz="4" w:space="1"/>
        </w:pBdr>
        <w:jc w:val="right"/>
        <w:rPr>
          <w:rFonts w:hint="eastAsia"/>
        </w:rPr>
      </w:pPr>
      <w:r>
        <w:rPr>
          <w:rFonts w:hint="eastAsia"/>
        </w:rPr>
        <w:t>2</w:t>
      </w:r>
      <w:r>
        <w:t>023年</w:t>
      </w:r>
      <w:r>
        <w:rPr>
          <w:rFonts w:hint="eastAsia"/>
        </w:rPr>
        <w:t>1</w:t>
      </w:r>
      <w:r>
        <w:t>2月</w:t>
      </w:r>
      <w:r>
        <w:rPr>
          <w:rFonts w:hint="eastAsia"/>
        </w:rPr>
        <w:t>1</w:t>
      </w:r>
      <w:r>
        <w:t>3日</w:t>
      </w:r>
    </w:p>
    <w:p>
      <w:pPr>
        <w:snapToGrid w:val="0"/>
        <w:spacing w:after="560"/>
        <w:rPr>
          <w:rFonts w:ascii="仿宋" w:hAnsi="仿宋" w:cs="仿宋"/>
          <w:color w:val="000000"/>
          <w:szCs w:val="32"/>
          <w:shd w:val="clear" w:color="auto" w:fill="FFFFFF"/>
        </w:rPr>
      </w:pPr>
      <w:r>
        <w:rPr>
          <w:rFonts w:hint="eastAsia" w:ascii="仿宋" w:hAnsi="仿宋" w:cs="仿宋"/>
          <w:b/>
          <w:color w:val="000000"/>
          <w:szCs w:val="32"/>
          <w:shd w:val="clear" w:color="auto" w:fill="FFFFFF"/>
        </w:rPr>
        <w:t>时间：</w:t>
      </w:r>
      <w:r>
        <w:rPr>
          <w:rFonts w:hint="eastAsia" w:ascii="仿宋" w:hAnsi="仿宋" w:cs="仿宋"/>
          <w:color w:val="000000"/>
          <w:szCs w:val="32"/>
          <w:shd w:val="clear" w:color="auto" w:fill="FFFFFF"/>
        </w:rPr>
        <w:t>2023年12月12日 14:3</w:t>
      </w:r>
      <w:bookmarkStart w:id="0" w:name="_GoBack"/>
      <w:bookmarkEnd w:id="0"/>
      <w:r>
        <w:rPr>
          <w:rFonts w:hint="eastAsia" w:ascii="仿宋" w:hAnsi="仿宋" w:cs="仿宋"/>
          <w:color w:val="000000"/>
          <w:szCs w:val="32"/>
          <w:shd w:val="clear" w:color="auto" w:fill="FFFFFF"/>
        </w:rPr>
        <w:t>0-15:40</w:t>
      </w:r>
    </w:p>
    <w:p>
      <w:pPr>
        <w:snapToGrid w:val="0"/>
        <w:spacing w:after="560"/>
        <w:rPr>
          <w:rFonts w:ascii="仿宋" w:hAnsi="仿宋" w:cs="仿宋"/>
          <w:color w:val="000000"/>
          <w:szCs w:val="32"/>
          <w:shd w:val="clear" w:color="auto" w:fill="FFFFFF"/>
        </w:rPr>
      </w:pPr>
      <w:r>
        <w:rPr>
          <w:rFonts w:hint="eastAsia" w:ascii="仿宋" w:hAnsi="仿宋" w:cs="仿宋"/>
          <w:b/>
          <w:color w:val="000000"/>
          <w:szCs w:val="32"/>
          <w:shd w:val="clear" w:color="auto" w:fill="FFFFFF"/>
        </w:rPr>
        <w:t>地点：</w:t>
      </w:r>
      <w:r>
        <w:rPr>
          <w:rFonts w:hint="eastAsia" w:ascii="仿宋" w:hAnsi="仿宋" w:cs="仿宋"/>
          <w:color w:val="000000"/>
          <w:szCs w:val="32"/>
          <w:shd w:val="clear" w:color="auto" w:fill="FFFFFF"/>
        </w:rPr>
        <w:t>集团第三会议室</w:t>
      </w:r>
    </w:p>
    <w:p>
      <w:pPr>
        <w:snapToGrid w:val="0"/>
        <w:spacing w:after="560"/>
        <w:rPr>
          <w:rFonts w:ascii="仿宋" w:hAnsi="仿宋" w:cs="仿宋"/>
          <w:color w:val="000000"/>
          <w:szCs w:val="32"/>
          <w:shd w:val="clear" w:color="auto" w:fill="FFFFFF"/>
        </w:rPr>
      </w:pPr>
      <w:r>
        <w:rPr>
          <w:rFonts w:hint="eastAsia" w:ascii="仿宋" w:hAnsi="仿宋" w:cs="仿宋"/>
          <w:b/>
          <w:color w:val="000000"/>
          <w:szCs w:val="32"/>
          <w:shd w:val="clear" w:color="auto" w:fill="FFFFFF"/>
        </w:rPr>
        <w:t>参会人员：</w:t>
      </w:r>
      <w:r>
        <w:rPr>
          <w:rFonts w:hint="eastAsia" w:ascii="仿宋" w:hAnsi="仿宋" w:cs="仿宋"/>
          <w:color w:val="000000"/>
          <w:szCs w:val="32"/>
          <w:shd w:val="clear" w:color="auto" w:fill="FFFFFF"/>
        </w:rPr>
        <w:t>李忠军 彭扣军 王玉飞 张强 丁钰林 王伟</w:t>
      </w:r>
    </w:p>
    <w:p>
      <w:pPr>
        <w:snapToGrid w:val="0"/>
        <w:spacing w:after="560"/>
        <w:rPr>
          <w:rFonts w:ascii="仿宋" w:hAnsi="仿宋" w:cs="仿宋"/>
          <w:color w:val="000000"/>
          <w:szCs w:val="32"/>
          <w:shd w:val="clear" w:color="auto" w:fill="FFFFFF"/>
        </w:rPr>
      </w:pPr>
      <w:r>
        <w:rPr>
          <w:rFonts w:hint="eastAsia" w:ascii="仿宋" w:hAnsi="仿宋" w:cs="仿宋"/>
          <w:color w:val="000000"/>
          <w:szCs w:val="32"/>
          <w:shd w:val="clear" w:color="auto" w:fill="FFFFFF"/>
        </w:rPr>
        <w:t>福州隆坤公司：黄少华（业务经理）</w:t>
      </w:r>
    </w:p>
    <w:p>
      <w:pPr>
        <w:snapToGrid w:val="0"/>
        <w:spacing w:after="560"/>
        <w:rPr>
          <w:rFonts w:ascii="仿宋" w:hAnsi="仿宋" w:cs="仿宋"/>
          <w:color w:val="000000"/>
          <w:szCs w:val="32"/>
          <w:shd w:val="clear" w:color="auto" w:fill="FFFFFF"/>
        </w:rPr>
      </w:pPr>
      <w:r>
        <w:rPr>
          <w:rFonts w:hint="eastAsia" w:ascii="仿宋" w:hAnsi="仿宋" w:cs="仿宋"/>
          <w:color w:val="000000"/>
          <w:szCs w:val="32"/>
          <w:shd w:val="clear" w:color="auto" w:fill="FFFFFF"/>
        </w:rPr>
        <w:t>UOP：刘磊（销售经理）</w:t>
      </w:r>
    </w:p>
    <w:p>
      <w:pPr>
        <w:snapToGrid w:val="0"/>
        <w:spacing w:after="560"/>
        <w:rPr>
          <w:rFonts w:ascii="仿宋" w:hAnsi="仿宋" w:cs="仿宋"/>
          <w:color w:val="000000"/>
          <w:szCs w:val="32"/>
          <w:shd w:val="clear" w:color="auto" w:fill="FFFFFF"/>
        </w:rPr>
      </w:pPr>
      <w:r>
        <w:rPr>
          <w:rFonts w:hint="eastAsia" w:ascii="仿宋" w:hAnsi="仿宋" w:cs="仿宋"/>
          <w:b/>
          <w:color w:val="000000"/>
          <w:szCs w:val="32"/>
          <w:shd w:val="clear" w:color="auto" w:fill="FFFFFF"/>
        </w:rPr>
        <w:t>会议纪录：</w:t>
      </w:r>
      <w:r>
        <w:rPr>
          <w:rFonts w:hint="eastAsia" w:ascii="仿宋" w:hAnsi="仿宋" w:cs="仿宋"/>
          <w:color w:val="000000"/>
          <w:szCs w:val="32"/>
          <w:shd w:val="clear" w:color="auto" w:fill="FFFFFF"/>
        </w:rPr>
        <w:t>丁钰林</w:t>
      </w:r>
    </w:p>
    <w:p>
      <w:pPr>
        <w:snapToGrid w:val="0"/>
        <w:spacing w:after="560"/>
        <w:rPr>
          <w:rFonts w:ascii="仿宋" w:hAnsi="仿宋" w:cs="仿宋"/>
          <w:b/>
          <w:color w:val="000000"/>
          <w:szCs w:val="32"/>
          <w:shd w:val="clear" w:color="auto" w:fill="FFFFFF"/>
        </w:rPr>
      </w:pPr>
      <w:r>
        <w:rPr>
          <w:rFonts w:hint="eastAsia" w:ascii="仿宋" w:hAnsi="仿宋" w:cs="仿宋"/>
          <w:b/>
          <w:color w:val="000000"/>
          <w:szCs w:val="32"/>
          <w:shd w:val="clear" w:color="auto" w:fill="FFFFFF"/>
        </w:rPr>
        <w:t>会议议程：</w:t>
      </w:r>
    </w:p>
    <w:p>
      <w:pPr>
        <w:snapToGrid w:val="0"/>
        <w:spacing w:after="560"/>
        <w:ind w:firstLine="632" w:firstLineChars="200"/>
        <w:rPr>
          <w:rFonts w:ascii="仿宋" w:hAnsi="仿宋" w:cs="仿宋"/>
          <w:color w:val="000000"/>
          <w:szCs w:val="32"/>
          <w:shd w:val="clear" w:color="auto" w:fill="FFFFFF"/>
        </w:rPr>
      </w:pPr>
      <w:r>
        <w:rPr>
          <w:rFonts w:hint="eastAsia" w:ascii="仿宋" w:hAnsi="仿宋" w:cs="仿宋"/>
          <w:color w:val="000000"/>
          <w:szCs w:val="32"/>
          <w:shd w:val="clear" w:color="auto" w:fill="FFFFFF"/>
        </w:rPr>
        <w:t>一、谈判小组成员进行前期价格摸底情况通报及商谈要点交流</w:t>
      </w:r>
    </w:p>
    <w:p>
      <w:pPr>
        <w:snapToGrid w:val="0"/>
        <w:spacing w:after="560"/>
        <w:ind w:firstLine="632" w:firstLineChars="200"/>
        <w:rPr>
          <w:rFonts w:ascii="仿宋" w:hAnsi="仿宋" w:cs="仿宋"/>
          <w:color w:val="000000"/>
          <w:szCs w:val="32"/>
          <w:shd w:val="clear" w:color="auto" w:fill="FFFFFF"/>
        </w:rPr>
      </w:pPr>
      <w:r>
        <w:rPr>
          <w:rFonts w:hint="eastAsia" w:ascii="仿宋" w:hAnsi="仿宋" w:cs="仿宋"/>
          <w:color w:val="000000"/>
          <w:szCs w:val="32"/>
          <w:shd w:val="clear" w:color="auto" w:fill="FFFFFF"/>
        </w:rPr>
        <w:t>二、与福州隆坤贸易有限公司人员进行商讨具体事项</w:t>
      </w:r>
    </w:p>
    <w:p>
      <w:pPr>
        <w:snapToGrid w:val="0"/>
        <w:spacing w:after="560"/>
        <w:ind w:firstLine="632" w:firstLineChars="200"/>
        <w:rPr>
          <w:rFonts w:ascii="仿宋" w:hAnsi="仿宋" w:cs="仿宋"/>
          <w:color w:val="000000"/>
          <w:szCs w:val="32"/>
          <w:shd w:val="clear" w:color="auto" w:fill="FFFFFF"/>
        </w:rPr>
      </w:pPr>
      <w:r>
        <w:rPr>
          <w:rFonts w:hint="eastAsia" w:ascii="仿宋" w:hAnsi="仿宋" w:cs="仿宋"/>
          <w:color w:val="000000"/>
          <w:szCs w:val="32"/>
          <w:shd w:val="clear" w:color="auto" w:fill="FFFFFF"/>
        </w:rPr>
        <w:t>三、与环球油品公司人员进行商讨具体事项</w:t>
      </w:r>
    </w:p>
    <w:p>
      <w:pPr>
        <w:spacing w:after="0" w:line="360" w:lineRule="auto"/>
        <w:ind w:firstLine="632" w:firstLineChars="200"/>
        <w:rPr>
          <w:rFonts w:ascii="仿宋" w:hAnsi="仿宋" w:cs="仿宋"/>
          <w:szCs w:val="32"/>
        </w:rPr>
      </w:pPr>
      <w:r>
        <w:rPr>
          <w:rFonts w:hint="eastAsia" w:ascii="仿宋" w:hAnsi="仿宋" w:cs="仿宋"/>
          <w:color w:val="000000"/>
          <w:szCs w:val="32"/>
          <w:shd w:val="clear" w:color="auto" w:fill="FFFFFF"/>
        </w:rPr>
        <w:t>65万吨年苯酚丙酮装置一二级保护床吸附剂项目（以下简称一级、二级吸附剂）通过单一来源的论证并公示结束，进入商务谈判环节。采购部于12月12日召开吸附剂单一来源采购商谈会，会议在集团第三会议室召开，由采购部副总经理李忠军主持。谈判小组由</w:t>
      </w:r>
      <w:r>
        <w:rPr>
          <w:rFonts w:hint="eastAsia" w:ascii="仿宋" w:hAnsi="仿宋" w:cs="仿宋"/>
          <w:szCs w:val="32"/>
        </w:rPr>
        <w:t>：瑞恒酚酮副总经理张强、生产运营部王玉飞、瑞恒公司财务王伟及采购部李忠军、彭扣军组成。会议主要内容为：</w:t>
      </w:r>
    </w:p>
    <w:p>
      <w:pPr>
        <w:spacing w:after="0" w:line="360" w:lineRule="auto"/>
        <w:ind w:firstLine="632" w:firstLineChars="200"/>
        <w:rPr>
          <w:rFonts w:ascii="仿宋" w:hAnsi="仿宋" w:cs="仿宋"/>
          <w:b/>
          <w:color w:val="000000"/>
          <w:szCs w:val="32"/>
          <w:shd w:val="clear" w:color="auto" w:fill="FFFFFF"/>
        </w:rPr>
      </w:pPr>
      <w:r>
        <w:rPr>
          <w:rFonts w:hint="eastAsia" w:ascii="仿宋" w:hAnsi="仿宋" w:cs="仿宋"/>
          <w:b/>
          <w:color w:val="000000"/>
          <w:szCs w:val="32"/>
          <w:shd w:val="clear" w:color="auto" w:fill="FFFFFF"/>
        </w:rPr>
        <w:t>一、谈判小组进行前期价格摸底情况通报及商谈要点交流（14:30—14:50）</w:t>
      </w:r>
    </w:p>
    <w:p>
      <w:pPr>
        <w:spacing w:after="0" w:line="360" w:lineRule="auto"/>
        <w:ind w:firstLine="632" w:firstLineChars="200"/>
        <w:rPr>
          <w:rFonts w:ascii="仿宋" w:hAnsi="仿宋" w:cs="仿宋"/>
          <w:color w:val="000000"/>
          <w:szCs w:val="32"/>
          <w:shd w:val="clear" w:color="auto" w:fill="FFFFFF"/>
        </w:rPr>
      </w:pPr>
      <w:r>
        <w:rPr>
          <w:rFonts w:hint="eastAsia" w:ascii="仿宋" w:hAnsi="仿宋" w:cs="仿宋"/>
          <w:szCs w:val="32"/>
        </w:rPr>
        <w:t>会上由彭扣军对</w:t>
      </w:r>
      <w:r>
        <w:rPr>
          <w:rFonts w:hint="eastAsia" w:ascii="仿宋" w:hAnsi="仿宋" w:cs="仿宋"/>
          <w:color w:val="000000"/>
          <w:szCs w:val="32"/>
          <w:shd w:val="clear" w:color="auto" w:fill="FFFFFF"/>
        </w:rPr>
        <w:t>福州隆坤公司与环球油品公司往期交易价格与本次报价做了汇报。一级保护床吸附剂：福州隆坤第一次采购合同价格：2020年12月3日28000元/吨；第二次采购合同价格：2023年4月6日28000元/吨；2023年12月报价30500元/吨（见附件1）。</w:t>
      </w:r>
    </w:p>
    <w:p>
      <w:pPr>
        <w:spacing w:after="0" w:line="360" w:lineRule="auto"/>
        <w:ind w:firstLine="632" w:firstLineChars="200"/>
        <w:rPr>
          <w:rFonts w:ascii="仿宋" w:hAnsi="仿宋" w:cs="仿宋"/>
          <w:color w:val="000000"/>
          <w:szCs w:val="32"/>
          <w:shd w:val="clear" w:color="auto" w:fill="FFFFFF"/>
        </w:rPr>
      </w:pPr>
      <w:r>
        <w:rPr>
          <w:rFonts w:hint="eastAsia" w:ascii="仿宋" w:hAnsi="仿宋" w:cs="仿宋"/>
          <w:color w:val="000000"/>
          <w:szCs w:val="32"/>
          <w:shd w:val="clear" w:color="auto" w:fill="FFFFFF"/>
        </w:rPr>
        <w:t>二级保护床吸附剂：UOP第一次采购合同价格：48500 USD/吨；第二次采购合同价格：54500 USD/吨；2023年12月报价66660 USD/吨（见附件2）。经商讨后，小组意见为：</w:t>
      </w:r>
    </w:p>
    <w:p>
      <w:pPr>
        <w:pStyle w:val="32"/>
        <w:numPr>
          <w:ilvl w:val="0"/>
          <w:numId w:val="1"/>
        </w:numPr>
        <w:spacing w:after="0" w:line="360" w:lineRule="auto"/>
        <w:ind w:left="0" w:firstLine="632" w:firstLineChars="200"/>
        <w:rPr>
          <w:rFonts w:ascii="仿宋" w:hAnsi="仿宋" w:cs="仿宋"/>
          <w:szCs w:val="32"/>
        </w:rPr>
      </w:pPr>
      <w:r>
        <w:rPr>
          <w:rFonts w:hint="eastAsia" w:ascii="仿宋" w:hAnsi="仿宋" w:cs="仿宋"/>
          <w:szCs w:val="32"/>
        </w:rPr>
        <w:t>该技术为专有技术，难以直接考证成本构成。主要对比历史成交价格，建议当前商谈价不突破第二次合同采购价格。</w:t>
      </w:r>
    </w:p>
    <w:p>
      <w:pPr>
        <w:pStyle w:val="32"/>
        <w:numPr>
          <w:ilvl w:val="0"/>
          <w:numId w:val="1"/>
        </w:numPr>
        <w:spacing w:after="0" w:line="360" w:lineRule="auto"/>
        <w:ind w:left="0" w:firstLine="632" w:firstLineChars="200"/>
        <w:rPr>
          <w:rFonts w:ascii="仿宋" w:hAnsi="仿宋" w:cs="仿宋"/>
          <w:szCs w:val="32"/>
        </w:rPr>
      </w:pPr>
      <w:r>
        <w:rPr>
          <w:rFonts w:hint="eastAsia" w:ascii="仿宋" w:hAnsi="仿宋" w:cs="仿宋"/>
          <w:szCs w:val="32"/>
        </w:rPr>
        <w:t>一级保护床吸附剂价格差异原因主要受汇率因素影响（进口人民币合同）。</w:t>
      </w:r>
    </w:p>
    <w:p>
      <w:pPr>
        <w:pStyle w:val="32"/>
        <w:numPr>
          <w:ilvl w:val="0"/>
          <w:numId w:val="1"/>
        </w:numPr>
        <w:spacing w:after="0" w:line="360" w:lineRule="auto"/>
        <w:ind w:left="0" w:firstLine="632" w:firstLineChars="200"/>
        <w:rPr>
          <w:rFonts w:ascii="仿宋" w:hAnsi="仿宋" w:cs="仿宋"/>
          <w:szCs w:val="32"/>
        </w:rPr>
      </w:pPr>
      <w:r>
        <w:rPr>
          <w:rFonts w:hint="eastAsia" w:ascii="仿宋" w:hAnsi="仿宋" w:cs="仿宋"/>
          <w:szCs w:val="32"/>
        </w:rPr>
        <w:t>酚酮车间张强认为当前二级吸附剂的性能指标数据还有待进一步确认，采购流程待环球油品公司检验报告出具后且问题解决后再执行。</w:t>
      </w:r>
    </w:p>
    <w:p>
      <w:pPr>
        <w:pStyle w:val="32"/>
        <w:numPr>
          <w:ilvl w:val="0"/>
          <w:numId w:val="1"/>
        </w:numPr>
        <w:spacing w:after="0" w:line="360" w:lineRule="auto"/>
        <w:ind w:left="0" w:firstLine="632" w:firstLineChars="200"/>
        <w:rPr>
          <w:rFonts w:ascii="仿宋" w:hAnsi="仿宋" w:cs="仿宋"/>
          <w:szCs w:val="32"/>
        </w:rPr>
      </w:pPr>
      <w:r>
        <w:rPr>
          <w:rFonts w:hint="eastAsia" w:ascii="仿宋" w:hAnsi="仿宋" w:cs="仿宋"/>
          <w:szCs w:val="32"/>
        </w:rPr>
        <w:t>交流了交期及付款条件。</w:t>
      </w:r>
    </w:p>
    <w:p>
      <w:pPr>
        <w:spacing w:after="0" w:line="360" w:lineRule="auto"/>
        <w:ind w:firstLine="632" w:firstLineChars="200"/>
        <w:rPr>
          <w:rFonts w:ascii="仿宋" w:hAnsi="仿宋" w:cs="仿宋"/>
          <w:b/>
          <w:color w:val="000000"/>
          <w:szCs w:val="32"/>
          <w:shd w:val="clear" w:color="auto" w:fill="FFFFFF"/>
        </w:rPr>
      </w:pPr>
      <w:r>
        <w:rPr>
          <w:rFonts w:hint="eastAsia" w:ascii="仿宋" w:hAnsi="仿宋" w:cs="仿宋"/>
          <w:b/>
          <w:color w:val="000000"/>
          <w:szCs w:val="32"/>
          <w:shd w:val="clear" w:color="auto" w:fill="FFFFFF"/>
        </w:rPr>
        <w:t>二、与福州隆坤贸易有限公司人员进行商讨（14:50—15:20）</w:t>
      </w:r>
    </w:p>
    <w:p>
      <w:pPr>
        <w:spacing w:after="0" w:line="360" w:lineRule="auto"/>
        <w:ind w:firstLine="632" w:firstLineChars="200"/>
        <w:rPr>
          <w:rFonts w:ascii="仿宋" w:hAnsi="仿宋" w:cs="仿宋"/>
          <w:color w:val="000000"/>
          <w:szCs w:val="32"/>
          <w:shd w:val="clear" w:color="auto" w:fill="FFFFFF"/>
        </w:rPr>
      </w:pPr>
      <w:r>
        <w:rPr>
          <w:rFonts w:hint="eastAsia" w:ascii="仿宋" w:hAnsi="仿宋" w:cs="仿宋"/>
          <w:color w:val="000000"/>
          <w:szCs w:val="32"/>
          <w:shd w:val="clear" w:color="auto" w:fill="FFFFFF"/>
        </w:rPr>
        <w:t>1.对隆坤公司提交的资格文件、授权文件等作初步审查（见相关附件3）。</w:t>
      </w:r>
    </w:p>
    <w:p>
      <w:pPr>
        <w:spacing w:after="0" w:line="360" w:lineRule="auto"/>
        <w:ind w:firstLine="632" w:firstLineChars="200"/>
        <w:rPr>
          <w:rFonts w:ascii="仿宋" w:hAnsi="仿宋" w:cs="仿宋"/>
          <w:color w:val="000000"/>
          <w:szCs w:val="32"/>
          <w:shd w:val="clear" w:color="auto" w:fill="FFFFFF"/>
        </w:rPr>
      </w:pPr>
      <w:r>
        <w:rPr>
          <w:rFonts w:hint="eastAsia" w:ascii="仿宋" w:hAnsi="仿宋" w:cs="仿宋"/>
          <w:color w:val="000000"/>
          <w:szCs w:val="32"/>
          <w:shd w:val="clear" w:color="auto" w:fill="FFFFFF"/>
        </w:rPr>
        <w:t>2.隆坤公司解释本次报价上涨原因：保护床树脂原产地为印尼，由于人民币汇率变动，造成进口成本上升。历史采购合同签订期间，美元对人民币汇率在6.5-6.6左右，而当前在7.1-7.2左右，汇率变动上升9%成本。其意见为汇率导致的成本上升是客观的，至少双方均分上升成本。</w:t>
      </w:r>
    </w:p>
    <w:p>
      <w:pPr>
        <w:spacing w:after="0" w:line="360" w:lineRule="auto"/>
        <w:ind w:firstLine="632" w:firstLineChars="200"/>
        <w:rPr>
          <w:rFonts w:ascii="仿宋" w:hAnsi="仿宋" w:cs="仿宋"/>
          <w:color w:val="000000"/>
          <w:szCs w:val="32"/>
          <w:shd w:val="clear" w:color="auto" w:fill="FFFFFF"/>
        </w:rPr>
      </w:pPr>
      <w:r>
        <w:rPr>
          <w:rFonts w:hint="eastAsia" w:ascii="仿宋" w:hAnsi="仿宋" w:cs="仿宋"/>
          <w:color w:val="000000"/>
          <w:szCs w:val="32"/>
          <w:shd w:val="clear" w:color="auto" w:fill="FFFFFF"/>
        </w:rPr>
        <w:t>3.谈判小组意见是：当前各类化工品行情均不景气，大宗商品均处于下行，理论上该吸附剂应该是降价，即使考虑汇率因素也不应该涨价。</w:t>
      </w:r>
    </w:p>
    <w:p>
      <w:pPr>
        <w:spacing w:after="0" w:line="360" w:lineRule="auto"/>
        <w:ind w:firstLine="632" w:firstLineChars="200"/>
        <w:rPr>
          <w:rFonts w:ascii="仿宋" w:hAnsi="仿宋" w:cs="仿宋"/>
          <w:color w:val="000000"/>
          <w:szCs w:val="32"/>
          <w:shd w:val="clear" w:color="auto" w:fill="FFFFFF"/>
        </w:rPr>
      </w:pPr>
      <w:r>
        <w:rPr>
          <w:rFonts w:hint="eastAsia" w:ascii="仿宋" w:hAnsi="仿宋" w:cs="仿宋"/>
          <w:color w:val="000000"/>
          <w:szCs w:val="32"/>
          <w:shd w:val="clear" w:color="auto" w:fill="FFFFFF"/>
        </w:rPr>
        <w:t>4.双方商谈后达成以下一致意见：</w:t>
      </w:r>
    </w:p>
    <w:p>
      <w:pPr>
        <w:spacing w:after="0" w:line="360" w:lineRule="auto"/>
        <w:ind w:firstLine="632" w:firstLineChars="200"/>
        <w:rPr>
          <w:rFonts w:ascii="仿宋" w:hAnsi="仿宋" w:cs="仿宋"/>
          <w:color w:val="000000"/>
          <w:szCs w:val="32"/>
          <w:shd w:val="clear" w:color="auto" w:fill="FFFFFF"/>
        </w:rPr>
      </w:pPr>
      <w:r>
        <w:rPr>
          <w:rFonts w:hint="eastAsia" w:ascii="仿宋" w:hAnsi="仿宋" w:cs="仿宋"/>
          <w:color w:val="000000"/>
          <w:szCs w:val="32"/>
          <w:shd w:val="clear" w:color="auto" w:fill="FFFFFF"/>
        </w:rPr>
        <w:t>1）价格维持28000元/吨，付款条件为：预付30%，其余货到、票到后结清，国有或股份制银行承兑汇票结算。</w:t>
      </w:r>
    </w:p>
    <w:p>
      <w:pPr>
        <w:spacing w:after="0" w:line="360" w:lineRule="auto"/>
        <w:ind w:firstLine="632" w:firstLineChars="200"/>
        <w:rPr>
          <w:rFonts w:ascii="仿宋" w:hAnsi="仿宋" w:cs="仿宋"/>
          <w:color w:val="000000"/>
          <w:szCs w:val="32"/>
          <w:shd w:val="clear" w:color="auto" w:fill="FFFFFF"/>
        </w:rPr>
      </w:pPr>
      <w:r>
        <w:rPr>
          <w:rFonts w:hint="eastAsia" w:ascii="仿宋" w:hAnsi="仿宋" w:cs="仿宋"/>
          <w:color w:val="000000"/>
          <w:szCs w:val="32"/>
          <w:shd w:val="clear" w:color="auto" w:fill="FFFFFF"/>
        </w:rPr>
        <w:t>2）明确交付期：合同生效后60天交付（见相关附件4）。</w:t>
      </w:r>
    </w:p>
    <w:p>
      <w:pPr>
        <w:spacing w:after="0" w:line="360" w:lineRule="auto"/>
        <w:ind w:firstLine="632" w:firstLineChars="200"/>
        <w:rPr>
          <w:rFonts w:ascii="仿宋" w:hAnsi="仿宋" w:cs="仿宋"/>
          <w:b/>
          <w:color w:val="000000"/>
          <w:szCs w:val="32"/>
          <w:shd w:val="clear" w:color="auto" w:fill="FFFFFF"/>
        </w:rPr>
      </w:pPr>
      <w:r>
        <w:rPr>
          <w:rFonts w:hint="eastAsia" w:ascii="仿宋" w:hAnsi="仿宋" w:cs="仿宋"/>
          <w:b/>
          <w:color w:val="000000"/>
          <w:szCs w:val="32"/>
          <w:shd w:val="clear" w:color="auto" w:fill="FFFFFF"/>
        </w:rPr>
        <w:t>三、与环球油品公司人员进行商讨具体事项（15:20-15:40）</w:t>
      </w:r>
    </w:p>
    <w:p>
      <w:pPr>
        <w:spacing w:after="0" w:line="360" w:lineRule="auto"/>
        <w:ind w:firstLine="632" w:firstLineChars="200"/>
        <w:rPr>
          <w:rFonts w:ascii="仿宋" w:hAnsi="仿宋" w:cs="仿宋"/>
          <w:color w:val="000000"/>
          <w:szCs w:val="32"/>
          <w:shd w:val="clear" w:color="auto" w:fill="FFFFFF"/>
        </w:rPr>
      </w:pPr>
      <w:r>
        <w:rPr>
          <w:rFonts w:hint="eastAsia" w:ascii="仿宋" w:hAnsi="仿宋" w:cs="仿宋"/>
          <w:color w:val="000000"/>
          <w:szCs w:val="32"/>
          <w:shd w:val="clear" w:color="auto" w:fill="FFFFFF"/>
        </w:rPr>
        <w:t>1.对环球油品公司提交的资格文件、授权文件等作初步审查。</w:t>
      </w:r>
    </w:p>
    <w:p>
      <w:pPr>
        <w:spacing w:after="0" w:line="360" w:lineRule="auto"/>
        <w:ind w:firstLine="632" w:firstLineChars="200"/>
        <w:rPr>
          <w:rFonts w:ascii="仿宋" w:hAnsi="仿宋" w:cs="仿宋"/>
          <w:color w:val="000000"/>
          <w:szCs w:val="32"/>
          <w:shd w:val="clear" w:color="auto" w:fill="FFFFFF"/>
        </w:rPr>
      </w:pPr>
      <w:r>
        <w:rPr>
          <w:rFonts w:hint="eastAsia" w:ascii="仿宋" w:hAnsi="仿宋" w:cs="仿宋"/>
          <w:color w:val="000000"/>
          <w:szCs w:val="32"/>
          <w:shd w:val="clear" w:color="auto" w:fill="FFFFFF"/>
        </w:rPr>
        <w:t>2.环球油品公司本次报价上涨至66.66 USD/公斤，交货方式为上海港港口交货，价格上涨原因为：美国通胀严重，成本上升；关于二级保护床吸附剂性能数据问题，环球油品公司技术人员已开展分析，下一步将取样分析研究，并出具报告。</w:t>
      </w:r>
    </w:p>
    <w:p>
      <w:pPr>
        <w:spacing w:after="0" w:line="360" w:lineRule="auto"/>
        <w:ind w:firstLine="632" w:firstLineChars="200"/>
        <w:rPr>
          <w:rFonts w:ascii="仿宋" w:hAnsi="仿宋" w:cs="仿宋"/>
          <w:color w:val="000000"/>
          <w:szCs w:val="32"/>
          <w:shd w:val="clear" w:color="auto" w:fill="FFFFFF"/>
        </w:rPr>
      </w:pPr>
      <w:r>
        <w:rPr>
          <w:rFonts w:hint="eastAsia" w:ascii="仿宋" w:hAnsi="仿宋" w:cs="仿宋"/>
          <w:color w:val="000000"/>
          <w:szCs w:val="32"/>
          <w:shd w:val="clear" w:color="auto" w:fill="FFFFFF"/>
        </w:rPr>
        <w:t>3.谈判小组意见为：瑞恒能接受的价格只能是基于第一次合同价和第二次合同采购价格之间商议，请授权人向UOP公司重新申请，并在解决二级吸附剂性能参数问题后重新报价。</w:t>
      </w:r>
    </w:p>
    <w:p>
      <w:pPr>
        <w:spacing w:after="0" w:line="360" w:lineRule="auto"/>
        <w:ind w:firstLine="632" w:firstLineChars="200"/>
        <w:rPr>
          <w:rFonts w:ascii="仿宋" w:hAnsi="仿宋" w:cs="仿宋"/>
          <w:color w:val="000000"/>
          <w:szCs w:val="32"/>
          <w:shd w:val="clear" w:color="auto" w:fill="FFFFFF"/>
        </w:rPr>
      </w:pPr>
      <w:r>
        <w:rPr>
          <w:rFonts w:hint="eastAsia" w:ascii="仿宋" w:hAnsi="仿宋" w:cs="仿宋"/>
          <w:color w:val="000000"/>
          <w:szCs w:val="32"/>
          <w:shd w:val="clear" w:color="auto" w:fill="FFFFFF"/>
        </w:rPr>
        <w:t>4.最后双方意见为：</w:t>
      </w:r>
    </w:p>
    <w:p>
      <w:pPr>
        <w:spacing w:after="0" w:line="360" w:lineRule="auto"/>
        <w:ind w:firstLine="632" w:firstLineChars="200"/>
        <w:rPr>
          <w:rFonts w:ascii="仿宋" w:hAnsi="仿宋" w:cs="仿宋"/>
          <w:color w:val="000000"/>
          <w:szCs w:val="32"/>
          <w:shd w:val="clear" w:color="auto" w:fill="FFFFFF"/>
        </w:rPr>
      </w:pPr>
      <w:r>
        <w:rPr>
          <w:rFonts w:hint="eastAsia" w:ascii="仿宋" w:hAnsi="仿宋" w:cs="仿宋"/>
          <w:color w:val="000000"/>
          <w:szCs w:val="32"/>
          <w:shd w:val="clear" w:color="auto" w:fill="FFFFFF"/>
        </w:rPr>
        <w:t>1）UOP公司尽快完成二级吸附剂性能参数分析，并解决瑞恒酚酮车间所提出的疑问。</w:t>
      </w:r>
    </w:p>
    <w:p>
      <w:pPr>
        <w:spacing w:after="0" w:line="360" w:lineRule="auto"/>
        <w:ind w:firstLine="632" w:firstLineChars="200"/>
        <w:rPr>
          <w:rFonts w:ascii="仿宋" w:hAnsi="仿宋" w:cs="仿宋"/>
          <w:color w:val="000000"/>
          <w:szCs w:val="32"/>
          <w:shd w:val="clear" w:color="auto" w:fill="FFFFFF"/>
        </w:rPr>
      </w:pPr>
      <w:r>
        <w:rPr>
          <w:rFonts w:hint="eastAsia" w:ascii="仿宋" w:hAnsi="仿宋" w:cs="仿宋"/>
          <w:color w:val="000000"/>
          <w:szCs w:val="32"/>
          <w:shd w:val="clear" w:color="auto" w:fill="FFFFFF"/>
        </w:rPr>
        <w:t>2）在解决技术问题后，UOP公司基于双方意见重新报价。</w:t>
      </w:r>
    </w:p>
    <w:p>
      <w:pPr>
        <w:spacing w:after="0" w:line="360" w:lineRule="auto"/>
        <w:ind w:firstLine="632" w:firstLineChars="200"/>
        <w:rPr>
          <w:rFonts w:ascii="仿宋" w:hAnsi="仿宋" w:cs="仿宋"/>
          <w:color w:val="000000"/>
          <w:szCs w:val="32"/>
          <w:shd w:val="clear" w:color="auto" w:fill="FFFFFF"/>
        </w:rPr>
      </w:pPr>
    </w:p>
    <w:p>
      <w:pPr>
        <w:spacing w:after="0" w:line="360" w:lineRule="auto"/>
        <w:ind w:firstLine="632" w:firstLineChars="200"/>
        <w:rPr>
          <w:rFonts w:ascii="仿宋" w:hAnsi="仿宋" w:cs="仿宋"/>
          <w:color w:val="000000"/>
          <w:szCs w:val="32"/>
          <w:shd w:val="clear" w:color="auto" w:fill="FFFFFF"/>
        </w:rPr>
      </w:pPr>
    </w:p>
    <w:p>
      <w:pPr>
        <w:spacing w:after="0" w:line="360" w:lineRule="auto"/>
        <w:ind w:firstLine="632" w:firstLineChars="200"/>
        <w:rPr>
          <w:rFonts w:hint="eastAsia" w:ascii="仿宋" w:hAnsi="仿宋" w:cs="仿宋"/>
          <w:color w:val="000000"/>
          <w:szCs w:val="32"/>
          <w:shd w:val="clear" w:color="auto" w:fill="FFFFFF"/>
        </w:rPr>
      </w:pPr>
    </w:p>
    <w:p>
      <w:pPr>
        <w:spacing w:after="0" w:line="360" w:lineRule="auto"/>
        <w:rPr>
          <w:color w:val="000000"/>
          <w:szCs w:val="32"/>
          <w:shd w:val="clear" w:color="auto" w:fill="FFFFFF"/>
        </w:rPr>
      </w:pPr>
      <w:r>
        <w:rPr>
          <w:rFonts w:hint="eastAsia"/>
          <w:color w:val="000000"/>
          <w:szCs w:val="32"/>
          <w:shd w:val="clear" w:color="auto" w:fill="FFFFFF"/>
        </w:rPr>
        <w:t>附件1</w:t>
      </w:r>
    </w:p>
    <w:p>
      <w:pPr>
        <w:spacing w:after="0" w:line="360" w:lineRule="auto"/>
        <w:rPr>
          <w:color w:val="000000"/>
          <w:szCs w:val="32"/>
          <w:shd w:val="clear" w:color="auto" w:fill="FFFFFF"/>
        </w:rPr>
      </w:pPr>
      <w:r>
        <w:rPr>
          <w:rFonts w:hint="eastAsia"/>
          <w:color w:val="000000"/>
          <w:szCs w:val="32"/>
          <w:shd w:val="clear" w:color="auto" w:fill="FFFFFF"/>
        </w:rPr>
        <w:drawing>
          <wp:inline distT="0" distB="0" distL="0" distR="0">
            <wp:extent cx="5106670" cy="59334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17316" cy="5945614"/>
                    </a:xfrm>
                    <a:prstGeom prst="rect">
                      <a:avLst/>
                    </a:prstGeom>
                  </pic:spPr>
                </pic:pic>
              </a:graphicData>
            </a:graphic>
          </wp:inline>
        </w:drawing>
      </w:r>
    </w:p>
    <w:p>
      <w:pPr>
        <w:spacing w:after="0" w:line="360" w:lineRule="auto"/>
        <w:rPr>
          <w:color w:val="000000"/>
          <w:szCs w:val="32"/>
          <w:shd w:val="clear" w:color="auto" w:fill="FFFFFF"/>
        </w:rPr>
      </w:pPr>
    </w:p>
    <w:p>
      <w:pPr>
        <w:spacing w:after="0" w:line="360" w:lineRule="auto"/>
        <w:rPr>
          <w:color w:val="000000"/>
          <w:szCs w:val="32"/>
          <w:shd w:val="clear" w:color="auto" w:fill="FFFFFF"/>
        </w:rPr>
      </w:pPr>
      <w:r>
        <w:rPr>
          <w:rFonts w:hint="eastAsia"/>
          <w:color w:val="000000"/>
          <w:szCs w:val="32"/>
          <w:shd w:val="clear" w:color="auto" w:fill="FFFFFF"/>
        </w:rPr>
        <w:t>附件2</w:t>
      </w:r>
    </w:p>
    <w:p>
      <w:pPr>
        <w:spacing w:after="0" w:line="360" w:lineRule="auto"/>
        <w:rPr>
          <w:color w:val="000000"/>
          <w:szCs w:val="32"/>
          <w:shd w:val="clear" w:color="auto" w:fill="FFFFFF"/>
        </w:rPr>
      </w:pPr>
      <w:r>
        <w:rPr>
          <w:rFonts w:hint="eastAsia"/>
          <w:color w:val="000000"/>
          <w:szCs w:val="32"/>
          <w:shd w:val="clear" w:color="auto" w:fill="FFFFFF"/>
        </w:rPr>
        <w:drawing>
          <wp:inline distT="0" distB="0" distL="0" distR="0">
            <wp:extent cx="5273675" cy="2854960"/>
            <wp:effectExtent l="0" t="0" r="3175"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293042" cy="2865494"/>
                    </a:xfrm>
                    <a:prstGeom prst="rect">
                      <a:avLst/>
                    </a:prstGeom>
                  </pic:spPr>
                </pic:pic>
              </a:graphicData>
            </a:graphic>
          </wp:inline>
        </w:drawing>
      </w:r>
    </w:p>
    <w:p>
      <w:pPr>
        <w:spacing w:after="0" w:line="360" w:lineRule="auto"/>
        <w:rPr>
          <w:color w:val="000000"/>
          <w:szCs w:val="32"/>
          <w:shd w:val="clear" w:color="auto" w:fill="FFFFFF"/>
        </w:rPr>
      </w:pPr>
      <w:r>
        <w:rPr>
          <w:rFonts w:hint="eastAsia"/>
          <w:color w:val="000000"/>
          <w:szCs w:val="32"/>
          <w:shd w:val="clear" w:color="auto" w:fill="FFFFFF"/>
        </w:rPr>
        <w:t>附件3</w:t>
      </w:r>
      <w:r>
        <w:rPr>
          <w:rFonts w:hint="eastAsia"/>
          <w:color w:val="000000"/>
          <w:szCs w:val="32"/>
          <w:shd w:val="clear" w:color="auto" w:fill="FFFFFF"/>
        </w:rPr>
        <w:drawing>
          <wp:inline distT="0" distB="0" distL="0" distR="0">
            <wp:extent cx="5272405" cy="4640580"/>
            <wp:effectExtent l="0" t="0" r="4445"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288514" cy="4654812"/>
                    </a:xfrm>
                    <a:prstGeom prst="rect">
                      <a:avLst/>
                    </a:prstGeom>
                  </pic:spPr>
                </pic:pic>
              </a:graphicData>
            </a:graphic>
          </wp:inline>
        </w:drawing>
      </w:r>
    </w:p>
    <w:p>
      <w:pPr>
        <w:spacing w:after="0" w:line="360" w:lineRule="auto"/>
        <w:rPr>
          <w:color w:val="000000"/>
          <w:szCs w:val="32"/>
          <w:shd w:val="clear" w:color="auto" w:fill="FFFFFF"/>
        </w:rPr>
      </w:pPr>
      <w:r>
        <w:rPr>
          <w:rFonts w:hint="eastAsia"/>
          <w:color w:val="000000"/>
          <w:szCs w:val="32"/>
          <w:shd w:val="clear" w:color="auto" w:fill="FFFFFF"/>
        </w:rPr>
        <w:drawing>
          <wp:inline distT="0" distB="0" distL="0" distR="0">
            <wp:extent cx="5272405" cy="4045585"/>
            <wp:effectExtent l="0" t="0" r="444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92154" cy="4060634"/>
                    </a:xfrm>
                    <a:prstGeom prst="rect">
                      <a:avLst/>
                    </a:prstGeom>
                  </pic:spPr>
                </pic:pic>
              </a:graphicData>
            </a:graphic>
          </wp:inline>
        </w:drawing>
      </w:r>
    </w:p>
    <w:p>
      <w:pPr>
        <w:spacing w:after="0" w:line="360" w:lineRule="auto"/>
        <w:rPr>
          <w:color w:val="000000"/>
          <w:szCs w:val="32"/>
          <w:shd w:val="clear" w:color="auto" w:fill="FFFFFF"/>
        </w:rPr>
      </w:pPr>
      <w:r>
        <w:rPr>
          <w:rFonts w:hint="eastAsia"/>
          <w:color w:val="000000"/>
          <w:szCs w:val="32"/>
          <w:shd w:val="clear" w:color="auto" w:fill="FFFFFF"/>
        </w:rPr>
        <w:drawing>
          <wp:inline distT="0" distB="0" distL="0" distR="0">
            <wp:extent cx="5271770" cy="4511040"/>
            <wp:effectExtent l="0" t="0" r="508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96794" cy="4533031"/>
                    </a:xfrm>
                    <a:prstGeom prst="rect">
                      <a:avLst/>
                    </a:prstGeom>
                  </pic:spPr>
                </pic:pic>
              </a:graphicData>
            </a:graphic>
          </wp:inline>
        </w:drawing>
      </w:r>
    </w:p>
    <w:p>
      <w:pPr>
        <w:spacing w:after="0" w:line="360" w:lineRule="auto"/>
        <w:rPr>
          <w:color w:val="000000"/>
          <w:szCs w:val="32"/>
          <w:shd w:val="clear" w:color="auto" w:fill="FFFFFF"/>
        </w:rPr>
      </w:pPr>
      <w:r>
        <w:rPr>
          <w:rFonts w:hint="eastAsia"/>
          <w:color w:val="000000"/>
          <w:szCs w:val="32"/>
          <w:shd w:val="clear" w:color="auto" w:fill="FFFFFF"/>
        </w:rPr>
        <w:t>附件4</w:t>
      </w:r>
    </w:p>
    <w:p>
      <w:pPr>
        <w:spacing w:after="0" w:line="360" w:lineRule="auto"/>
        <w:rPr>
          <w:color w:val="000000"/>
          <w:szCs w:val="32"/>
          <w:shd w:val="clear" w:color="auto" w:fill="FFFFFF"/>
        </w:rPr>
      </w:pPr>
      <w:r>
        <w:rPr>
          <w:rFonts w:hint="eastAsia"/>
          <w:color w:val="000000"/>
          <w:szCs w:val="32"/>
          <w:shd w:val="clear" w:color="auto" w:fill="FFFFFF"/>
        </w:rPr>
        <w:drawing>
          <wp:inline distT="0" distB="0" distL="0" distR="0">
            <wp:extent cx="5274310" cy="7317105"/>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7317105"/>
                    </a:xfrm>
                    <a:prstGeom prst="rect">
                      <a:avLst/>
                    </a:prstGeom>
                  </pic:spPr>
                </pic:pic>
              </a:graphicData>
            </a:graphic>
          </wp:inline>
        </w:drawing>
      </w:r>
    </w:p>
    <w:sectPr>
      <w:footerReference r:id="rId5" w:type="default"/>
      <w:pgSz w:w="11906" w:h="16838"/>
      <w:pgMar w:top="2098" w:right="1474" w:bottom="1984" w:left="1587" w:header="851" w:footer="992" w:gutter="0"/>
      <w:cols w:space="0" w:num="1"/>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2"/>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8D3EC5"/>
    <w:multiLevelType w:val="multilevel"/>
    <w:tmpl w:val="308D3EC5"/>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0MjVlZTYxOTRlZDhiNjI1ZDgzYjcwNzYxNTg0NTkifQ=="/>
  </w:docVars>
  <w:rsids>
    <w:rsidRoot w:val="006E4006"/>
    <w:rsid w:val="0002490D"/>
    <w:rsid w:val="000675D3"/>
    <w:rsid w:val="00082A72"/>
    <w:rsid w:val="00130575"/>
    <w:rsid w:val="00134927"/>
    <w:rsid w:val="00156BDB"/>
    <w:rsid w:val="00182859"/>
    <w:rsid w:val="001B3E6F"/>
    <w:rsid w:val="001E1F09"/>
    <w:rsid w:val="00280234"/>
    <w:rsid w:val="00295E6A"/>
    <w:rsid w:val="002A151D"/>
    <w:rsid w:val="002A154E"/>
    <w:rsid w:val="002D7E05"/>
    <w:rsid w:val="002E6597"/>
    <w:rsid w:val="00344F54"/>
    <w:rsid w:val="00390A56"/>
    <w:rsid w:val="003E17AB"/>
    <w:rsid w:val="003E2FA8"/>
    <w:rsid w:val="003F5267"/>
    <w:rsid w:val="00426C1C"/>
    <w:rsid w:val="00433337"/>
    <w:rsid w:val="0045238D"/>
    <w:rsid w:val="00460414"/>
    <w:rsid w:val="0046136D"/>
    <w:rsid w:val="004F4DEA"/>
    <w:rsid w:val="0050116B"/>
    <w:rsid w:val="0050505C"/>
    <w:rsid w:val="00513D4F"/>
    <w:rsid w:val="005458B9"/>
    <w:rsid w:val="005C153B"/>
    <w:rsid w:val="005E3DA8"/>
    <w:rsid w:val="005F6A68"/>
    <w:rsid w:val="0060775A"/>
    <w:rsid w:val="0068143E"/>
    <w:rsid w:val="006A4476"/>
    <w:rsid w:val="006C3F65"/>
    <w:rsid w:val="006E4006"/>
    <w:rsid w:val="006F0A86"/>
    <w:rsid w:val="007924E5"/>
    <w:rsid w:val="00795B48"/>
    <w:rsid w:val="007A62A9"/>
    <w:rsid w:val="007C0DFF"/>
    <w:rsid w:val="007C4249"/>
    <w:rsid w:val="00822A90"/>
    <w:rsid w:val="00831AF0"/>
    <w:rsid w:val="00832176"/>
    <w:rsid w:val="00856A60"/>
    <w:rsid w:val="008D51F9"/>
    <w:rsid w:val="009454DB"/>
    <w:rsid w:val="009532C4"/>
    <w:rsid w:val="00966B13"/>
    <w:rsid w:val="00990EE6"/>
    <w:rsid w:val="009A57FD"/>
    <w:rsid w:val="009F1FA6"/>
    <w:rsid w:val="00A528B5"/>
    <w:rsid w:val="00A53D1D"/>
    <w:rsid w:val="00AB1AA9"/>
    <w:rsid w:val="00AF59AA"/>
    <w:rsid w:val="00B035B2"/>
    <w:rsid w:val="00BA1AA6"/>
    <w:rsid w:val="00BA5F30"/>
    <w:rsid w:val="00C24368"/>
    <w:rsid w:val="00C456F4"/>
    <w:rsid w:val="00C520B3"/>
    <w:rsid w:val="00C637D4"/>
    <w:rsid w:val="00C71D21"/>
    <w:rsid w:val="00C83464"/>
    <w:rsid w:val="00C871E4"/>
    <w:rsid w:val="00C95A38"/>
    <w:rsid w:val="00CA6A1B"/>
    <w:rsid w:val="00CB0EA1"/>
    <w:rsid w:val="00CD5E40"/>
    <w:rsid w:val="00CE082C"/>
    <w:rsid w:val="00CE6668"/>
    <w:rsid w:val="00D15876"/>
    <w:rsid w:val="00D23F29"/>
    <w:rsid w:val="00D70D1C"/>
    <w:rsid w:val="00DB23FC"/>
    <w:rsid w:val="00DB3472"/>
    <w:rsid w:val="00DC149A"/>
    <w:rsid w:val="00DE089F"/>
    <w:rsid w:val="00E704E8"/>
    <w:rsid w:val="00EC29F0"/>
    <w:rsid w:val="00EF02B6"/>
    <w:rsid w:val="00EF2090"/>
    <w:rsid w:val="00EF429A"/>
    <w:rsid w:val="00F03FB5"/>
    <w:rsid w:val="00F213B7"/>
    <w:rsid w:val="00F84E2D"/>
    <w:rsid w:val="00F95980"/>
    <w:rsid w:val="00FC1DEF"/>
    <w:rsid w:val="00FC330A"/>
    <w:rsid w:val="00FE5EA5"/>
    <w:rsid w:val="16336D6F"/>
    <w:rsid w:val="20857EBF"/>
    <w:rsid w:val="2FF80C85"/>
    <w:rsid w:val="3AAF6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eastAsia="仿宋" w:asciiTheme="minorHAnsi" w:hAnsiTheme="minorHAnsi" w:cstheme="minorBidi"/>
      <w:sz w:val="32"/>
      <w:szCs w:val="22"/>
      <w:lang w:val="en-US" w:eastAsia="zh-CN" w:bidi="ar-SA"/>
    </w:rPr>
  </w:style>
  <w:style w:type="paragraph" w:styleId="2">
    <w:name w:val="heading 1"/>
    <w:basedOn w:val="1"/>
    <w:next w:val="1"/>
    <w:link w:val="20"/>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21"/>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22"/>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23"/>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24"/>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25"/>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26"/>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27"/>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28"/>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2">
    <w:name w:val="footer"/>
    <w:basedOn w:val="1"/>
    <w:semiHidden/>
    <w:unhideWhenUsed/>
    <w:qFormat/>
    <w:uiPriority w:val="99"/>
    <w:pPr>
      <w:tabs>
        <w:tab w:val="center" w:pos="4153"/>
        <w:tab w:val="right" w:pos="8306"/>
      </w:tabs>
      <w:snapToGrid w:val="0"/>
    </w:pPr>
    <w:rPr>
      <w:sz w:val="18"/>
    </w:rPr>
  </w:style>
  <w:style w:type="paragraph" w:styleId="1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4">
    <w:name w:val="Subtitle"/>
    <w:basedOn w:val="1"/>
    <w:next w:val="1"/>
    <w:link w:val="30"/>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5">
    <w:name w:val="Title"/>
    <w:basedOn w:val="1"/>
    <w:next w:val="1"/>
    <w:link w:val="29"/>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character" w:styleId="18">
    <w:name w:val="Strong"/>
    <w:basedOn w:val="17"/>
    <w:qFormat/>
    <w:uiPriority w:val="22"/>
    <w:rPr>
      <w:b/>
      <w:bCs/>
    </w:rPr>
  </w:style>
  <w:style w:type="character" w:styleId="19">
    <w:name w:val="Emphasis"/>
    <w:basedOn w:val="17"/>
    <w:qFormat/>
    <w:uiPriority w:val="20"/>
    <w:rPr>
      <w:i/>
      <w:iCs/>
    </w:rPr>
  </w:style>
  <w:style w:type="character" w:customStyle="1" w:styleId="20">
    <w:name w:val="标题 1 Char"/>
    <w:basedOn w:val="17"/>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1">
    <w:name w:val="标题 2 Char"/>
    <w:basedOn w:val="17"/>
    <w:link w:val="3"/>
    <w:semiHidden/>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2">
    <w:name w:val="标题 3 Char"/>
    <w:basedOn w:val="17"/>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3">
    <w:name w:val="标题 4 Char"/>
    <w:basedOn w:val="17"/>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4">
    <w:name w:val="标题 5 Char"/>
    <w:basedOn w:val="17"/>
    <w:link w:val="6"/>
    <w:semiHidden/>
    <w:qFormat/>
    <w:uiPriority w:val="9"/>
    <w:rPr>
      <w:rFonts w:asciiTheme="majorHAnsi" w:hAnsiTheme="majorHAnsi" w:eastAsiaTheme="majorEastAsia" w:cstheme="majorBidi"/>
      <w:color w:val="254061" w:themeColor="accent1" w:themeShade="80"/>
    </w:rPr>
  </w:style>
  <w:style w:type="character" w:customStyle="1" w:styleId="25">
    <w:name w:val="标题 6 Char"/>
    <w:basedOn w:val="17"/>
    <w:link w:val="7"/>
    <w:semiHidden/>
    <w:qFormat/>
    <w:uiPriority w:val="9"/>
    <w:rPr>
      <w:rFonts w:asciiTheme="majorHAnsi" w:hAnsiTheme="majorHAnsi" w:eastAsiaTheme="majorEastAsia" w:cstheme="majorBidi"/>
      <w:i/>
      <w:iCs/>
      <w:color w:val="254061" w:themeColor="accent1" w:themeShade="80"/>
    </w:rPr>
  </w:style>
  <w:style w:type="character" w:customStyle="1" w:styleId="26">
    <w:name w:val="标题 7 Char"/>
    <w:basedOn w:val="17"/>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27">
    <w:name w:val="标题 8 Char"/>
    <w:basedOn w:val="17"/>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28">
    <w:name w:val="标题 9 Char"/>
    <w:basedOn w:val="17"/>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customStyle="1" w:styleId="29">
    <w:name w:val="标题 Char"/>
    <w:basedOn w:val="17"/>
    <w:link w:val="15"/>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30">
    <w:name w:val="副标题 Char"/>
    <w:basedOn w:val="17"/>
    <w:link w:val="1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31">
    <w:name w:val="No Spacing"/>
    <w:qFormat/>
    <w:uiPriority w:val="1"/>
    <w:rPr>
      <w:rFonts w:asciiTheme="minorHAnsi" w:hAnsiTheme="minorHAnsi" w:eastAsiaTheme="minorEastAsia" w:cstheme="minorBidi"/>
      <w:sz w:val="22"/>
      <w:szCs w:val="22"/>
      <w:lang w:val="en-US" w:eastAsia="zh-CN" w:bidi="ar-SA"/>
    </w:rPr>
  </w:style>
  <w:style w:type="paragraph" w:styleId="32">
    <w:name w:val="List Paragraph"/>
    <w:basedOn w:val="1"/>
    <w:qFormat/>
    <w:uiPriority w:val="34"/>
    <w:pPr>
      <w:ind w:left="720"/>
      <w:contextualSpacing/>
    </w:pPr>
  </w:style>
  <w:style w:type="paragraph" w:styleId="33">
    <w:name w:val="Quote"/>
    <w:basedOn w:val="1"/>
    <w:next w:val="1"/>
    <w:link w:val="34"/>
    <w:qFormat/>
    <w:uiPriority w:val="29"/>
    <w:rPr>
      <w:i/>
      <w:iCs/>
      <w:color w:val="000000" w:themeColor="text1"/>
      <w14:textFill>
        <w14:solidFill>
          <w14:schemeClr w14:val="tx1"/>
        </w14:solidFill>
      </w14:textFill>
    </w:rPr>
  </w:style>
  <w:style w:type="character" w:customStyle="1" w:styleId="34">
    <w:name w:val="引用 Char"/>
    <w:basedOn w:val="17"/>
    <w:link w:val="33"/>
    <w:uiPriority w:val="29"/>
    <w:rPr>
      <w:i/>
      <w:iCs/>
      <w:color w:val="000000" w:themeColor="text1"/>
      <w14:textFill>
        <w14:solidFill>
          <w14:schemeClr w14:val="tx1"/>
        </w14:solidFill>
      </w14:textFill>
    </w:rPr>
  </w:style>
  <w:style w:type="paragraph" w:styleId="35">
    <w:name w:val="Intense Quote"/>
    <w:basedOn w:val="1"/>
    <w:next w:val="1"/>
    <w:link w:val="36"/>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36">
    <w:name w:val="明显引用 Char"/>
    <w:basedOn w:val="17"/>
    <w:link w:val="35"/>
    <w:uiPriority w:val="30"/>
    <w:rPr>
      <w:b/>
      <w:bCs/>
      <w:i/>
      <w:iCs/>
      <w:color w:val="4F81BD" w:themeColor="accent1"/>
      <w14:textFill>
        <w14:solidFill>
          <w14:schemeClr w14:val="accent1"/>
        </w14:solidFill>
      </w14:textFill>
    </w:rPr>
  </w:style>
  <w:style w:type="character" w:customStyle="1" w:styleId="37">
    <w:name w:val="不明显强调1"/>
    <w:basedOn w:val="17"/>
    <w:qFormat/>
    <w:uiPriority w:val="19"/>
    <w:rPr>
      <w:i/>
      <w:iCs/>
      <w:color w:val="808080" w:themeColor="text1" w:themeTint="80"/>
      <w14:textFill>
        <w14:solidFill>
          <w14:schemeClr w14:val="tx1">
            <w14:lumMod w14:val="50000"/>
            <w14:lumOff w14:val="50000"/>
          </w14:schemeClr>
        </w14:solidFill>
      </w14:textFill>
    </w:rPr>
  </w:style>
  <w:style w:type="character" w:customStyle="1" w:styleId="38">
    <w:name w:val="明显强调1"/>
    <w:basedOn w:val="17"/>
    <w:qFormat/>
    <w:uiPriority w:val="21"/>
    <w:rPr>
      <w:b/>
      <w:bCs/>
      <w:i/>
      <w:iCs/>
      <w:color w:val="4F81BD" w:themeColor="accent1"/>
      <w14:textFill>
        <w14:solidFill>
          <w14:schemeClr w14:val="accent1"/>
        </w14:solidFill>
      </w14:textFill>
    </w:rPr>
  </w:style>
  <w:style w:type="character" w:customStyle="1" w:styleId="39">
    <w:name w:val="不明显参考1"/>
    <w:basedOn w:val="17"/>
    <w:qFormat/>
    <w:uiPriority w:val="31"/>
    <w:rPr>
      <w:smallCaps/>
      <w:color w:val="C0504D" w:themeColor="accent2"/>
      <w:u w:val="single"/>
      <w14:textFill>
        <w14:solidFill>
          <w14:schemeClr w14:val="accent2"/>
        </w14:solidFill>
      </w14:textFill>
    </w:rPr>
  </w:style>
  <w:style w:type="character" w:customStyle="1" w:styleId="40">
    <w:name w:val="明显参考1"/>
    <w:basedOn w:val="17"/>
    <w:qFormat/>
    <w:uiPriority w:val="32"/>
    <w:rPr>
      <w:b/>
      <w:bCs/>
      <w:smallCaps/>
      <w:color w:val="C0504D" w:themeColor="accent2"/>
      <w:spacing w:val="5"/>
      <w:u w:val="single"/>
      <w14:textFill>
        <w14:solidFill>
          <w14:schemeClr w14:val="accent2"/>
        </w14:solidFill>
      </w14:textFill>
    </w:rPr>
  </w:style>
  <w:style w:type="character" w:customStyle="1" w:styleId="41">
    <w:name w:val="书籍标题1"/>
    <w:basedOn w:val="17"/>
    <w:qFormat/>
    <w:uiPriority w:val="33"/>
    <w:rPr>
      <w:b/>
      <w:bCs/>
      <w:smallCaps/>
      <w:spacing w:val="5"/>
    </w:rPr>
  </w:style>
  <w:style w:type="paragraph" w:customStyle="1" w:styleId="42">
    <w:name w:val="TOC 标题1"/>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230</Words>
  <Characters>1317</Characters>
  <Lines>10</Lines>
  <Paragraphs>3</Paragraphs>
  <TotalTime>123</TotalTime>
  <ScaleCrop>false</ScaleCrop>
  <LinksUpToDate>false</LinksUpToDate>
  <CharactersWithSpaces>1544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2023-08-24T00:26:00Z</dcterms:created>
  <dc:creator>03836_祝叶_双氧水</dc:creator>
  <cp:lastModifiedBy>路人丁.</cp:lastModifiedBy>
  <dcterms:modified xsi:type="dcterms:W3CDTF">2023-12-13T08:56:25Z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4183B3584BA04395804F5B52EEA10AD4_13</vt:lpwstr>
  </property>
</Properties>
</file>